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olor w:val="auto"/>
        </w:rPr>
      </w:pPr>
    </w:p>
    <w:p>
      <w:pPr>
        <w:jc w:val="center"/>
        <w:rPr>
          <w:rFonts w:hint="eastAsia" w:ascii="仿宋" w:hAnsi="仿宋" w:eastAsia="仿宋" w:cs="仿宋"/>
          <w:b/>
          <w:bCs/>
          <w:color w:val="auto"/>
          <w:sz w:val="48"/>
          <w:szCs w:val="56"/>
        </w:rPr>
      </w:pPr>
    </w:p>
    <w:p>
      <w:pPr>
        <w:jc w:val="center"/>
        <w:rPr>
          <w:rFonts w:hint="eastAsia" w:ascii="仿宋" w:hAnsi="仿宋" w:eastAsia="仿宋" w:cs="仿宋"/>
          <w:b/>
          <w:bCs/>
          <w:color w:val="auto"/>
          <w:sz w:val="52"/>
          <w:szCs w:val="72"/>
        </w:rPr>
      </w:pPr>
      <w:bookmarkStart w:id="0" w:name="OLE_LINK1"/>
      <w:r>
        <w:rPr>
          <w:rFonts w:hint="eastAsia" w:ascii="仿宋" w:hAnsi="仿宋" w:eastAsia="仿宋" w:cs="仿宋"/>
          <w:b/>
          <w:bCs/>
          <w:color w:val="auto"/>
          <w:sz w:val="52"/>
          <w:szCs w:val="72"/>
        </w:rPr>
        <w:t>汕尾市</w:t>
      </w:r>
      <w:r>
        <w:rPr>
          <w:rFonts w:hint="eastAsia" w:ascii="仿宋" w:hAnsi="仿宋" w:eastAsia="仿宋" w:cs="仿宋"/>
          <w:b/>
          <w:bCs/>
          <w:color w:val="auto"/>
          <w:sz w:val="52"/>
          <w:szCs w:val="72"/>
          <w:lang w:val="en-US" w:eastAsia="zh-CN"/>
        </w:rPr>
        <w:t>投资控股有限公司企业负责人2025年经营业绩考核绩效评价专项审计</w:t>
      </w:r>
      <w:r>
        <w:rPr>
          <w:rFonts w:hint="eastAsia" w:ascii="仿宋" w:hAnsi="仿宋" w:eastAsia="仿宋" w:cs="仿宋"/>
          <w:b/>
          <w:bCs/>
          <w:color w:val="auto"/>
          <w:sz w:val="52"/>
          <w:szCs w:val="72"/>
        </w:rPr>
        <w:t>项目</w:t>
      </w:r>
      <w:bookmarkEnd w:id="0"/>
    </w:p>
    <w:p>
      <w:pPr>
        <w:jc w:val="center"/>
        <w:rPr>
          <w:rFonts w:hint="eastAsia" w:ascii="仿宋" w:hAnsi="仿宋" w:eastAsia="仿宋" w:cs="仿宋"/>
          <w:b/>
          <w:bCs/>
          <w:color w:val="auto"/>
          <w:sz w:val="48"/>
          <w:szCs w:val="56"/>
        </w:rPr>
      </w:pPr>
    </w:p>
    <w:p>
      <w:pPr>
        <w:pStyle w:val="2"/>
        <w:rPr>
          <w:rFonts w:hint="eastAsia"/>
          <w:color w:val="auto"/>
        </w:rPr>
      </w:pPr>
      <w:bookmarkStart w:id="3" w:name="_GoBack"/>
      <w:bookmarkEnd w:id="3"/>
    </w:p>
    <w:p>
      <w:pPr>
        <w:pStyle w:val="2"/>
        <w:rPr>
          <w:rFonts w:hint="eastAsia"/>
          <w:color w:val="auto"/>
        </w:rPr>
      </w:pPr>
    </w:p>
    <w:p>
      <w:pPr>
        <w:jc w:val="center"/>
        <w:rPr>
          <w:rFonts w:hint="eastAsia" w:ascii="仿宋" w:hAnsi="仿宋" w:eastAsia="仿宋" w:cs="仿宋"/>
          <w:b/>
          <w:bCs/>
          <w:color w:val="auto"/>
          <w:sz w:val="72"/>
          <w:szCs w:val="144"/>
          <w:lang w:eastAsia="zh-CN"/>
        </w:rPr>
      </w:pPr>
    </w:p>
    <w:p>
      <w:pPr>
        <w:jc w:val="center"/>
        <w:rPr>
          <w:rFonts w:hint="eastAsia" w:ascii="仿宋" w:hAnsi="仿宋" w:eastAsia="仿宋" w:cs="仿宋"/>
          <w:b/>
          <w:bCs/>
          <w:color w:val="auto"/>
          <w:sz w:val="72"/>
          <w:szCs w:val="144"/>
          <w:lang w:eastAsia="zh-CN"/>
        </w:rPr>
      </w:pPr>
      <w:r>
        <w:rPr>
          <w:rFonts w:hint="eastAsia" w:ascii="仿宋" w:hAnsi="仿宋" w:eastAsia="仿宋" w:cs="仿宋"/>
          <w:b/>
          <w:bCs/>
          <w:color w:val="auto"/>
          <w:sz w:val="72"/>
          <w:szCs w:val="144"/>
          <w:lang w:eastAsia="zh-CN"/>
        </w:rPr>
        <w:t>需</w:t>
      </w:r>
    </w:p>
    <w:p>
      <w:pPr>
        <w:jc w:val="center"/>
        <w:rPr>
          <w:rFonts w:hint="eastAsia" w:ascii="仿宋" w:hAnsi="仿宋" w:eastAsia="仿宋" w:cs="仿宋"/>
          <w:b/>
          <w:bCs/>
          <w:color w:val="auto"/>
          <w:sz w:val="72"/>
          <w:szCs w:val="144"/>
          <w:lang w:eastAsia="zh-CN"/>
        </w:rPr>
      </w:pPr>
    </w:p>
    <w:p>
      <w:pPr>
        <w:pStyle w:val="2"/>
        <w:rPr>
          <w:rFonts w:hint="eastAsia"/>
          <w:color w:val="auto"/>
          <w:lang w:eastAsia="zh-CN"/>
        </w:rPr>
      </w:pPr>
    </w:p>
    <w:p>
      <w:pPr>
        <w:rPr>
          <w:rFonts w:hint="eastAsia"/>
          <w:color w:val="auto"/>
          <w:lang w:eastAsia="zh-CN"/>
        </w:rPr>
      </w:pPr>
    </w:p>
    <w:p>
      <w:pPr>
        <w:jc w:val="center"/>
        <w:rPr>
          <w:rFonts w:hint="eastAsia" w:ascii="仿宋" w:hAnsi="仿宋" w:eastAsia="仿宋" w:cs="仿宋"/>
          <w:b/>
          <w:bCs/>
          <w:color w:val="auto"/>
          <w:sz w:val="72"/>
          <w:szCs w:val="144"/>
          <w:lang w:eastAsia="zh-CN"/>
        </w:rPr>
      </w:pPr>
      <w:r>
        <w:rPr>
          <w:rFonts w:hint="eastAsia" w:ascii="仿宋" w:hAnsi="仿宋" w:eastAsia="仿宋" w:cs="仿宋"/>
          <w:b/>
          <w:bCs/>
          <w:color w:val="auto"/>
          <w:sz w:val="72"/>
          <w:szCs w:val="144"/>
          <w:lang w:eastAsia="zh-CN"/>
        </w:rPr>
        <w:t>求</w:t>
      </w:r>
    </w:p>
    <w:p>
      <w:pPr>
        <w:jc w:val="center"/>
        <w:rPr>
          <w:rFonts w:hint="eastAsia" w:ascii="仿宋" w:hAnsi="仿宋" w:eastAsia="仿宋" w:cs="仿宋"/>
          <w:b/>
          <w:bCs/>
          <w:color w:val="auto"/>
          <w:sz w:val="72"/>
          <w:szCs w:val="144"/>
          <w:lang w:eastAsia="zh-CN"/>
        </w:rPr>
      </w:pPr>
    </w:p>
    <w:p>
      <w:pPr>
        <w:pStyle w:val="2"/>
        <w:rPr>
          <w:rFonts w:hint="eastAsia"/>
          <w:color w:val="auto"/>
          <w:lang w:eastAsia="zh-CN"/>
        </w:rPr>
      </w:pPr>
    </w:p>
    <w:p>
      <w:pPr>
        <w:pStyle w:val="2"/>
        <w:rPr>
          <w:rFonts w:hint="eastAsia"/>
          <w:color w:val="auto"/>
          <w:lang w:eastAsia="zh-CN"/>
        </w:rPr>
      </w:pPr>
    </w:p>
    <w:p>
      <w:pPr>
        <w:jc w:val="center"/>
        <w:rPr>
          <w:rFonts w:hint="eastAsia" w:ascii="仿宋" w:hAnsi="仿宋" w:eastAsia="仿宋" w:cs="仿宋"/>
          <w:b/>
          <w:bCs/>
          <w:color w:val="auto"/>
          <w:sz w:val="72"/>
          <w:szCs w:val="144"/>
          <w:lang w:eastAsia="zh-CN"/>
        </w:rPr>
      </w:pPr>
      <w:r>
        <w:rPr>
          <w:rFonts w:hint="eastAsia" w:ascii="仿宋" w:hAnsi="仿宋" w:eastAsia="仿宋" w:cs="仿宋"/>
          <w:b/>
          <w:bCs/>
          <w:color w:val="auto"/>
          <w:sz w:val="72"/>
          <w:szCs w:val="144"/>
          <w:lang w:eastAsia="zh-CN"/>
        </w:rPr>
        <w:t>书</w:t>
      </w:r>
    </w:p>
    <w:p>
      <w:pPr>
        <w:jc w:val="center"/>
        <w:rPr>
          <w:rFonts w:hint="eastAsia" w:ascii="仿宋" w:hAnsi="仿宋" w:eastAsia="仿宋" w:cs="仿宋"/>
          <w:b/>
          <w:bCs/>
          <w:color w:val="auto"/>
          <w:sz w:val="72"/>
          <w:szCs w:val="144"/>
          <w:lang w:eastAsia="zh-CN"/>
        </w:rPr>
      </w:pPr>
    </w:p>
    <w:p>
      <w:pPr>
        <w:pStyle w:val="2"/>
        <w:rPr>
          <w:rFonts w:hint="eastAsia"/>
          <w:color w:val="auto"/>
          <w:lang w:eastAsia="zh-CN"/>
        </w:rPr>
      </w:pPr>
    </w:p>
    <w:p>
      <w:pPr>
        <w:pStyle w:val="2"/>
        <w:ind w:left="0" w:leftChars="0" w:firstLine="0" w:firstLineChars="0"/>
        <w:rPr>
          <w:rFonts w:hint="eastAsia"/>
          <w:color w:val="auto"/>
          <w:lang w:eastAsia="zh-CN"/>
        </w:rPr>
      </w:pPr>
    </w:p>
    <w:p>
      <w:pPr>
        <w:pStyle w:val="2"/>
        <w:rPr>
          <w:rFonts w:hint="eastAsia"/>
          <w:color w:val="auto"/>
          <w:lang w:eastAsia="zh-CN"/>
        </w:rPr>
      </w:pPr>
    </w:p>
    <w:p>
      <w:pPr>
        <w:jc w:val="center"/>
        <w:rPr>
          <w:rFonts w:hint="default" w:ascii="仿宋" w:hAnsi="仿宋" w:eastAsia="仿宋" w:cs="仿宋"/>
          <w:b/>
          <w:bCs/>
          <w:color w:val="auto"/>
          <w:sz w:val="44"/>
          <w:szCs w:val="52"/>
          <w:lang w:val="en-US" w:eastAsia="zh-CN"/>
        </w:rPr>
      </w:pPr>
      <w:r>
        <w:rPr>
          <w:rFonts w:hint="eastAsia" w:ascii="仿宋" w:hAnsi="仿宋" w:eastAsia="仿宋" w:cs="仿宋"/>
          <w:b/>
          <w:bCs/>
          <w:color w:val="auto"/>
          <w:sz w:val="44"/>
          <w:szCs w:val="52"/>
          <w:lang w:eastAsia="zh-CN"/>
        </w:rPr>
        <w:t>汕尾市</w:t>
      </w:r>
      <w:r>
        <w:rPr>
          <w:rFonts w:hint="eastAsia" w:ascii="仿宋" w:hAnsi="仿宋" w:eastAsia="仿宋" w:cs="仿宋"/>
          <w:b/>
          <w:bCs/>
          <w:color w:val="auto"/>
          <w:sz w:val="44"/>
          <w:szCs w:val="52"/>
          <w:lang w:val="en-US" w:eastAsia="zh-CN"/>
        </w:rPr>
        <w:t>投资控股有限公司</w:t>
      </w:r>
    </w:p>
    <w:p>
      <w:pPr>
        <w:jc w:val="center"/>
        <w:rPr>
          <w:rFonts w:hint="eastAsia" w:ascii="仿宋" w:hAnsi="仿宋" w:eastAsia="仿宋" w:cs="仿宋"/>
          <w:b/>
          <w:bCs/>
          <w:color w:val="auto"/>
          <w:sz w:val="44"/>
          <w:szCs w:val="52"/>
          <w:lang w:val="en-US" w:eastAsia="zh-CN"/>
        </w:rPr>
      </w:pPr>
      <w:r>
        <w:rPr>
          <w:rFonts w:hint="eastAsia" w:ascii="仿宋" w:hAnsi="仿宋" w:eastAsia="仿宋" w:cs="仿宋"/>
          <w:b/>
          <w:bCs/>
          <w:color w:val="auto"/>
          <w:sz w:val="44"/>
          <w:szCs w:val="52"/>
          <w:lang w:val="en-US" w:eastAsia="zh-CN"/>
        </w:rPr>
        <w:t>2026年6月</w:t>
      </w:r>
    </w:p>
    <w:p>
      <w:pPr>
        <w:rPr>
          <w:rFonts w:hint="eastAsia" w:ascii="仿宋" w:hAnsi="仿宋" w:eastAsia="仿宋" w:cs="仿宋"/>
          <w:b/>
          <w:bCs/>
          <w:color w:val="auto"/>
          <w:sz w:val="44"/>
          <w:szCs w:val="52"/>
          <w:lang w:val="en-US" w:eastAsia="zh-CN"/>
        </w:rPr>
      </w:pPr>
      <w:r>
        <w:rPr>
          <w:rFonts w:hint="eastAsia" w:ascii="仿宋" w:hAnsi="仿宋" w:eastAsia="仿宋" w:cs="仿宋"/>
          <w:b/>
          <w:bCs/>
          <w:color w:val="auto"/>
          <w:sz w:val="44"/>
          <w:szCs w:val="52"/>
          <w:lang w:val="en-US" w:eastAsia="zh-CN"/>
        </w:rPr>
        <w:br w:type="page"/>
      </w:r>
    </w:p>
    <w:p>
      <w:pPr>
        <w:pStyle w:val="2"/>
        <w:rPr>
          <w:rFonts w:hint="eastAsia"/>
          <w:color w:val="auto"/>
          <w:lang w:val="en-US" w:eastAsia="zh-CN"/>
        </w:rPr>
      </w:pPr>
    </w:p>
    <w:p>
      <w:pPr>
        <w:jc w:val="center"/>
        <w:rPr>
          <w:rFonts w:hint="eastAsia" w:ascii="仿宋" w:hAnsi="仿宋" w:eastAsia="仿宋" w:cs="仿宋"/>
          <w:b/>
          <w:bCs/>
          <w:color w:val="auto"/>
          <w:sz w:val="44"/>
          <w:szCs w:val="52"/>
          <w:lang w:val="en-US" w:eastAsia="zh-CN"/>
        </w:rPr>
      </w:pPr>
    </w:p>
    <w:p>
      <w:pPr>
        <w:jc w:val="both"/>
        <w:rPr>
          <w:rFonts w:hint="eastAsia" w:ascii="仿宋" w:hAnsi="仿宋" w:eastAsia="仿宋" w:cs="仿宋"/>
          <w:b/>
          <w:bCs/>
          <w:color w:val="auto"/>
          <w:sz w:val="28"/>
          <w:szCs w:val="36"/>
          <w:lang w:val="en-US" w:eastAsia="zh-CN"/>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jc w:val="both"/>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一、采购项目名称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b w:val="0"/>
          <w:bCs w:val="0"/>
          <w:color w:val="auto"/>
          <w:sz w:val="24"/>
          <w:szCs w:val="24"/>
          <w:lang w:val="en-US" w:eastAsia="zh-CN"/>
        </w:rPr>
      </w:pPr>
      <w:r>
        <w:rPr>
          <w:rFonts w:hint="default" w:ascii="仿宋" w:hAnsi="仿宋" w:eastAsia="仿宋" w:cs="仿宋"/>
          <w:b w:val="0"/>
          <w:bCs w:val="0"/>
          <w:color w:val="auto"/>
          <w:sz w:val="24"/>
          <w:szCs w:val="24"/>
          <w:lang w:val="en-US" w:eastAsia="zh-CN"/>
        </w:rPr>
        <w:t>汕尾市投资控股有限公司企业负责人2025年度经营业绩考核绩效评价专项审计项目</w:t>
      </w:r>
    </w:p>
    <w:p>
      <w:pPr>
        <w:jc w:val="both"/>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二、采购项目预算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本项目采购预算为50000 元（人民币伍万元整），报价不得超出预算金额，总报价包含完成本项目全部服务内容的所有费用。</w:t>
      </w:r>
    </w:p>
    <w:p>
      <w:pPr>
        <w:jc w:val="both"/>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三、供应商资格要求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1、供应商具备《政府采购法》第二十二条规定的相关条件；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pacing w:val="-6"/>
          <w:sz w:val="24"/>
          <w:szCs w:val="24"/>
          <w:lang w:val="en-US" w:eastAsia="zh-CN"/>
        </w:rPr>
        <w:t>供应商为在中华人民共和国境内依法注册的、独立承担民事责任的会计师事务所</w:t>
      </w:r>
      <w:r>
        <w:rPr>
          <w:rFonts w:hint="eastAsia" w:ascii="仿宋" w:hAnsi="仿宋" w:eastAsia="仿宋" w:cs="仿宋"/>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3、本项目不接受联合体参与响应。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开标当天在“信用中国”网站（www.creditchina.gov.cn）及中国政府采购网(www.ccgp.gov.cn)查询结果为准，如相关失信记录已失效，供应商需提供相关证明资料）。</w:t>
      </w:r>
    </w:p>
    <w:p>
      <w:pPr>
        <w:jc w:val="both"/>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四、采购项目内容一览表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ascii="仿宋" w:hAnsi="仿宋" w:eastAsia="仿宋" w:cs="仿宋"/>
          <w:b w:val="0"/>
          <w:bCs w:val="0"/>
          <w:color w:val="auto"/>
          <w:sz w:val="24"/>
          <w:szCs w:val="24"/>
          <w:lang w:val="en-US" w:eastAsia="zh-CN"/>
        </w:rPr>
        <w:t>根据《汕尾市市属企业负责人高质量发展经营业绩考核激励暂行办法（2024年修订）》（汕国资〔2024〕122号）《关于印发《</w:t>
      </w:r>
      <w:bookmarkStart w:id="1" w:name="OLE_LINK2"/>
      <w:r>
        <w:rPr>
          <w:rFonts w:hint="eastAsia" w:ascii="仿宋" w:hAnsi="仿宋" w:eastAsia="仿宋" w:cs="仿宋"/>
          <w:b w:val="0"/>
          <w:bCs w:val="0"/>
          <w:color w:val="auto"/>
          <w:sz w:val="24"/>
          <w:szCs w:val="24"/>
          <w:lang w:val="en-US" w:eastAsia="zh-CN"/>
        </w:rPr>
        <w:t>汕尾市投资控股有限公司</w:t>
      </w:r>
      <w:bookmarkEnd w:id="1"/>
      <w:r>
        <w:rPr>
          <w:rFonts w:hint="eastAsia" w:ascii="仿宋" w:hAnsi="仿宋" w:eastAsia="仿宋" w:cs="仿宋"/>
          <w:b w:val="0"/>
          <w:bCs w:val="0"/>
          <w:color w:val="auto"/>
          <w:sz w:val="24"/>
          <w:szCs w:val="24"/>
          <w:lang w:val="en-US" w:eastAsia="zh-CN"/>
        </w:rPr>
        <w:t>2025年企业负责人经营业绩考核方案》的通知》（汕国资函〔2025〕112号）等文件对汕尾市投资控股有限公司企业负责人2025年度经营业绩开展考核评价专项审计工作，并出具专项考核评价报告。</w:t>
      </w:r>
    </w:p>
    <w:p>
      <w:pPr>
        <w:jc w:val="both"/>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8"/>
          <w:szCs w:val="36"/>
          <w:lang w:val="en-US" w:eastAsia="zh-CN"/>
        </w:rPr>
        <w:t>五、项目背景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国有经济是国民经济核心和主导，它控制着国民经济的命脉，是实现社会主义现代化的重要物质力量。国有经济发展的好坏，影响并制约其他经济的发展。国有资本是国有经济运行的物质基础和载体。有效组织、管理和经营国有资本，对于提升国有经济效率、确保国民经济健康、有序的发展具有十分重要的意义。近年来，国家为充分发挥国有资本对于国民经济的主导作用，并实现国有资本保值和增值，围绕国有企业管理、监督和经营问题推出了一系列的改革和完善举措，包括：加大公司制股份制改革力度，完善公司治理结构；加大国有经济布局调整和企业重组，增强国有企业竞争力和抗风险能力；推行国有企业全面预算管理等。这些举措不仅深刻影响着国企改革和国有经济调整的进程，也影响到了整个国民经济改革发展的步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为落实党中央、国务院关于国有企业改革、完善国有资产管理体制的一系列重大决策部署，确保国有资本的保值增值，建立健全有效的激励约束机制，增强其对国民经济的引导力和调控力，促进国民经济的全面、协调和可持续发展，同时，检验国家对国有企业管理、监督和经营推出的一系列改革措施的有效性，根据《汕尾市市属企业负责人高质量发展经营业绩考核激励暂行办法（2024年修订）》（汕国资〔2024〕122号）《关于印发《汕尾市投资控股有限公司2025年企业负责人经营业绩考核方案》的通知》（汕国资函〔2025〕112号）等文件，需要对国有企业进行科学、合理的绩效评价。国有企业负责人经营业绩考核制度是政府履行出资人职责、加强国有资产监督管理的重要保障，也是提高国有企业竞争力的重要措施。</w:t>
      </w:r>
    </w:p>
    <w:p>
      <w:pPr>
        <w:jc w:val="both"/>
        <w:rPr>
          <w:rFonts w:hint="default" w:eastAsia="仿宋"/>
          <w:color w:val="auto"/>
          <w:lang w:val="en-US" w:eastAsia="zh-CN"/>
        </w:rPr>
      </w:pPr>
      <w:r>
        <w:rPr>
          <w:rFonts w:hint="eastAsia" w:ascii="仿宋" w:hAnsi="仿宋" w:eastAsia="仿宋" w:cs="仿宋"/>
          <w:b/>
          <w:bCs/>
          <w:color w:val="auto"/>
          <w:sz w:val="28"/>
          <w:szCs w:val="36"/>
          <w:lang w:val="en-US" w:eastAsia="zh-CN"/>
        </w:rPr>
        <w:t>六、审计目标及范围</w:t>
      </w:r>
    </w:p>
    <w:p>
      <w:pPr>
        <w:pStyle w:val="2"/>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（一）审计目标</w:t>
      </w:r>
    </w:p>
    <w:p>
      <w:pPr>
        <w:pStyle w:val="12"/>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全面核查、综合评价我司2025年度经营业绩完成情况，严格按照国资考核相关规定出具专项考核评价报告，为汕尾市国资委开展市管国有企业负责人2025年经营业绩考核、核定薪酬等工作提供客观、公正的参考依据。</w:t>
      </w:r>
    </w:p>
    <w:p>
      <w:pPr>
        <w:pStyle w:val="2"/>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hint="default" w:ascii="仿宋" w:hAnsi="仿宋" w:eastAsia="仿宋" w:cs="仿宋"/>
          <w:b/>
          <w:bCs/>
          <w:color w:val="auto"/>
          <w:sz w:val="24"/>
          <w:szCs w:val="24"/>
          <w:lang w:val="en-US" w:eastAsia="zh-CN"/>
        </w:rPr>
      </w:pPr>
      <w:bookmarkStart w:id="2" w:name="_Toc20342"/>
      <w:r>
        <w:rPr>
          <w:rFonts w:hint="eastAsia" w:ascii="仿宋" w:hAnsi="仿宋" w:eastAsia="仿宋" w:cs="仿宋"/>
          <w:b/>
          <w:bCs/>
          <w:color w:val="auto"/>
          <w:sz w:val="24"/>
          <w:szCs w:val="24"/>
          <w:lang w:val="en-US" w:eastAsia="zh-CN"/>
        </w:rPr>
        <w:t>（二）审计</w:t>
      </w:r>
      <w:bookmarkEnd w:id="2"/>
      <w:r>
        <w:rPr>
          <w:rFonts w:hint="eastAsia" w:ascii="仿宋" w:hAnsi="仿宋" w:eastAsia="仿宋" w:cs="仿宋"/>
          <w:b/>
          <w:bCs/>
          <w:color w:val="auto"/>
          <w:sz w:val="24"/>
          <w:szCs w:val="24"/>
          <w:lang w:val="en-US" w:eastAsia="zh-CN"/>
        </w:rPr>
        <w:t>范围</w:t>
      </w:r>
    </w:p>
    <w:p>
      <w:pPr>
        <w:pStyle w:val="12"/>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汕尾市投资控股有限公司2025年度经营业绩，重点核查经济效益指标、创新驱动指标和重点工作任务指标等经营业绩考核指标内容。</w:t>
      </w:r>
    </w:p>
    <w:p>
      <w:pPr>
        <w:jc w:val="both"/>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七、审计要求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pacing w:val="-6"/>
          <w:sz w:val="24"/>
          <w:szCs w:val="24"/>
          <w:lang w:val="en-US" w:eastAsia="zh-CN"/>
        </w:rPr>
        <w:t>专项审计工作的开展必须严格遵守《中华人民共和国审计法》及《审计准则》等法律法规</w:t>
      </w:r>
      <w:r>
        <w:rPr>
          <w:rFonts w:hint="eastAsia" w:ascii="仿宋" w:hAnsi="仿宋" w:eastAsia="仿宋" w:cs="仿宋"/>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专项审计工作必须严格按照《汕尾市市属企业负责人高质量发展经营业绩考核激励暂行办法（2024年修订）》（汕国资〔2024〕122号）《关于印发《汕尾市投资控股有限公司2025年企业负责人经营业绩考核方案》的通知》（汕国资函〔2025〕112号）等文件规定开展审计及评价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3.本项目至少配备1名持有中国注册会计师执业资质的专业人员全程负责本项目。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4.按照国资委时限要求完成全部审计工作，确保成果资料按期报送。</w:t>
      </w:r>
    </w:p>
    <w:p>
      <w:pPr>
        <w:jc w:val="both"/>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八、商务要求</w:t>
      </w:r>
    </w:p>
    <w:p>
      <w:pPr>
        <w:spacing w:line="360" w:lineRule="auto"/>
        <w:ind w:firstLine="482" w:firstLineChars="200"/>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lang w:val="en-US" w:eastAsia="zh-CN"/>
        </w:rPr>
        <w:t>（一）</w:t>
      </w:r>
      <w:r>
        <w:rPr>
          <w:rFonts w:hint="eastAsia" w:ascii="仿宋" w:hAnsi="仿宋" w:eastAsia="仿宋" w:cs="仿宋"/>
          <w:b/>
          <w:bCs w:val="0"/>
          <w:color w:val="auto"/>
          <w:sz w:val="24"/>
          <w:szCs w:val="24"/>
        </w:rPr>
        <w:t>交货地点</w:t>
      </w:r>
    </w:p>
    <w:p>
      <w:pPr>
        <w:spacing w:line="360" w:lineRule="auto"/>
        <w:ind w:firstLine="480" w:firstLineChars="2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采购人指定地点。</w:t>
      </w:r>
    </w:p>
    <w:p>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lang w:eastAsia="zh-CN"/>
        </w:rPr>
        <w:t>（二）</w:t>
      </w:r>
      <w:r>
        <w:rPr>
          <w:rFonts w:hint="eastAsia" w:ascii="仿宋" w:hAnsi="仿宋" w:eastAsia="仿宋" w:cs="仿宋"/>
          <w:b/>
          <w:color w:val="auto"/>
          <w:sz w:val="24"/>
          <w:szCs w:val="24"/>
        </w:rPr>
        <w:t>完工期</w:t>
      </w:r>
    </w:p>
    <w:p>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提交专项审计报告时间</w:t>
      </w:r>
      <w:r>
        <w:rPr>
          <w:rFonts w:hint="eastAsia" w:ascii="仿宋" w:hAnsi="仿宋" w:eastAsia="仿宋" w:cs="仿宋"/>
          <w:bCs/>
          <w:color w:val="auto"/>
          <w:sz w:val="24"/>
          <w:szCs w:val="24"/>
        </w:rPr>
        <w:t>为</w:t>
      </w:r>
      <w:r>
        <w:rPr>
          <w:rFonts w:hint="eastAsia" w:ascii="仿宋" w:hAnsi="仿宋" w:eastAsia="仿宋" w:cs="仿宋"/>
          <w:bCs/>
          <w:color w:val="auto"/>
          <w:sz w:val="24"/>
          <w:szCs w:val="24"/>
          <w:lang w:val="en-US" w:eastAsia="zh-CN"/>
        </w:rPr>
        <w:t>2026年7月1日前</w:t>
      </w:r>
      <w:r>
        <w:rPr>
          <w:rFonts w:hint="eastAsia" w:ascii="仿宋" w:hAnsi="仿宋" w:eastAsia="仿宋" w:cs="仿宋"/>
          <w:bCs/>
          <w:color w:val="auto"/>
          <w:sz w:val="24"/>
          <w:szCs w:val="24"/>
        </w:rPr>
        <w:t>。</w:t>
      </w:r>
    </w:p>
    <w:p>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（三）</w:t>
      </w:r>
      <w:r>
        <w:rPr>
          <w:rFonts w:hint="eastAsia" w:ascii="仿宋" w:hAnsi="仿宋" w:eastAsia="仿宋" w:cs="仿宋"/>
          <w:b/>
          <w:color w:val="auto"/>
          <w:sz w:val="24"/>
          <w:szCs w:val="24"/>
        </w:rPr>
        <w:t>报价要求</w:t>
      </w:r>
    </w:p>
    <w:p>
      <w:pPr>
        <w:spacing w:line="360" w:lineRule="auto"/>
        <w:ind w:firstLine="482" w:firstLineChars="200"/>
        <w:rPr>
          <w:rFonts w:hint="eastAsia" w:ascii="仿宋" w:hAnsi="仿宋" w:eastAsia="仿宋" w:cs="仿宋"/>
          <w:bCs/>
          <w:color w:val="auto"/>
          <w:sz w:val="24"/>
          <w:szCs w:val="24"/>
        </w:rPr>
      </w:pPr>
      <w:r>
        <w:rPr>
          <w:rFonts w:hint="eastAsia" w:ascii="仿宋" w:hAnsi="仿宋" w:eastAsia="仿宋" w:cs="仿宋"/>
          <w:b/>
          <w:bCs w:val="0"/>
          <w:color w:val="auto"/>
          <w:sz w:val="24"/>
          <w:szCs w:val="24"/>
          <w:lang w:val="en-US" w:eastAsia="zh-CN"/>
        </w:rPr>
        <w:t>本项目最高限价为50000元</w:t>
      </w:r>
      <w:r>
        <w:rPr>
          <w:rFonts w:hint="eastAsia" w:ascii="仿宋" w:hAnsi="仿宋" w:eastAsia="仿宋" w:cs="仿宋"/>
          <w:bCs/>
          <w:color w:val="auto"/>
          <w:sz w:val="24"/>
          <w:szCs w:val="24"/>
          <w:lang w:val="en-US" w:eastAsia="zh-CN"/>
        </w:rPr>
        <w:t>,供应商</w:t>
      </w:r>
      <w:r>
        <w:rPr>
          <w:rFonts w:hint="eastAsia" w:ascii="仿宋" w:hAnsi="仿宋" w:eastAsia="仿宋" w:cs="仿宋"/>
          <w:color w:val="auto"/>
          <w:sz w:val="24"/>
        </w:rPr>
        <w:t>总报价</w:t>
      </w:r>
      <w:r>
        <w:rPr>
          <w:rFonts w:hint="eastAsia" w:ascii="仿宋" w:hAnsi="仿宋" w:eastAsia="仿宋" w:cs="仿宋"/>
          <w:color w:val="auto"/>
          <w:sz w:val="24"/>
          <w:lang w:val="en-US" w:eastAsia="zh-CN"/>
        </w:rPr>
        <w:t>为全包价，</w:t>
      </w:r>
      <w:r>
        <w:rPr>
          <w:rFonts w:hint="eastAsia" w:ascii="仿宋" w:hAnsi="仿宋" w:eastAsia="仿宋" w:cs="仿宋"/>
          <w:color w:val="auto"/>
          <w:sz w:val="24"/>
        </w:rPr>
        <w:t>包含人工、差旅、资料、税费、报告编制、后续配合服务等完成本项目所有可预见及不可预见的全部费用，采购人不再另行支付其他费用。</w:t>
      </w:r>
    </w:p>
    <w:p>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（四）</w:t>
      </w:r>
      <w:r>
        <w:rPr>
          <w:rFonts w:hint="eastAsia" w:ascii="仿宋" w:hAnsi="仿宋" w:eastAsia="仿宋" w:cs="仿宋"/>
          <w:b/>
          <w:color w:val="auto"/>
          <w:sz w:val="24"/>
          <w:szCs w:val="24"/>
        </w:rPr>
        <w:t>付款方式</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项目全部完成、专项审计报告验收合格后 15 个工作日内，采购人一次性支付合同全款。</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付款方式为银行转账转账。</w:t>
      </w:r>
    </w:p>
    <w:p>
      <w:pPr>
        <w:pStyle w:val="2"/>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（五）验收</w:t>
      </w:r>
    </w:p>
    <w:p>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以专项审计报告内容完整、数据真实准确、符合国资考核相关文件要求，经采购人及汕尾市国资委核查通过，视为项目验收合格。</w:t>
      </w:r>
    </w:p>
    <w:p>
      <w:pPr>
        <w:pStyle w:val="2"/>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（六）其他</w:t>
      </w:r>
    </w:p>
    <w:p>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r>
        <w:rPr>
          <w:rFonts w:hint="eastAsia" w:ascii="仿宋" w:hAnsi="仿宋" w:eastAsia="仿宋" w:cs="仿宋"/>
          <w:color w:val="auto"/>
          <w:spacing w:val="-6"/>
          <w:sz w:val="24"/>
          <w:lang w:val="en-US" w:eastAsia="zh-CN"/>
        </w:rPr>
        <w:t>项目实施期间，供应商须安排专人对接，具备随时到场沟通、配合核查的能力（佐证：营业地址或保证函</w:t>
      </w:r>
      <w:r>
        <w:rPr>
          <w:rFonts w:hint="eastAsia" w:ascii="仿宋" w:hAnsi="仿宋" w:eastAsia="仿宋" w:cs="仿宋"/>
          <w:color w:val="auto"/>
          <w:sz w:val="24"/>
          <w:lang w:val="en-US" w:eastAsia="zh-CN"/>
        </w:rPr>
        <w:t>）。</w:t>
      </w:r>
    </w:p>
    <w:p>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2.本项目</w:t>
      </w:r>
      <w:r>
        <w:rPr>
          <w:rFonts w:hint="eastAsia" w:ascii="仿宋" w:hAnsi="仿宋" w:eastAsia="仿宋" w:cs="仿宋"/>
          <w:b/>
          <w:bCs/>
          <w:color w:val="auto"/>
          <w:sz w:val="24"/>
          <w:lang w:val="en-US" w:eastAsia="zh-CN"/>
        </w:rPr>
        <w:t>仅限</w:t>
      </w:r>
      <w:r>
        <w:rPr>
          <w:rFonts w:hint="eastAsia" w:ascii="仿宋" w:hAnsi="仿宋" w:eastAsia="仿宋" w:cs="仿宋"/>
          <w:color w:val="auto"/>
          <w:sz w:val="24"/>
          <w:lang w:val="en-US" w:eastAsia="zh-CN"/>
        </w:rPr>
        <w:t>会计师事务所参与响应。</w:t>
      </w:r>
    </w:p>
    <w:p>
      <w:p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3.本项目采用公开询比方式组织采购，严格按照《汕尾市国资委监管企业招标及采购管理规定》执行。</w:t>
      </w:r>
    </w:p>
    <w:p>
      <w:pPr>
        <w:spacing w:line="360" w:lineRule="auto"/>
        <w:ind w:firstLine="480" w:firstLineChars="200"/>
        <w:rPr>
          <w:rFonts w:hint="default" w:ascii="仿宋" w:hAnsi="仿宋" w:eastAsia="仿宋" w:cs="仿宋"/>
          <w:color w:val="auto"/>
          <w:sz w:val="24"/>
          <w:lang w:val="en-US" w:eastAsia="zh-CN"/>
        </w:rPr>
      </w:pPr>
    </w:p>
    <w:p>
      <w:pPr>
        <w:pStyle w:val="12"/>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eastAsia="zh-CN"/>
        </w:rPr>
        <w:t>汕尾市</w:t>
      </w:r>
      <w:r>
        <w:rPr>
          <w:rFonts w:hint="eastAsia" w:ascii="仿宋" w:hAnsi="仿宋" w:eastAsia="仿宋" w:cs="仿宋"/>
          <w:b w:val="0"/>
          <w:bCs w:val="0"/>
          <w:color w:val="auto"/>
          <w:sz w:val="24"/>
          <w:szCs w:val="24"/>
          <w:lang w:val="en-US" w:eastAsia="zh-CN"/>
        </w:rPr>
        <w:t>投资控股有限公司</w:t>
      </w: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color w:val="auto"/>
          <w:lang w:val="en-US" w:eastAsia="zh-CN"/>
        </w:rPr>
      </w:pPr>
      <w:r>
        <w:rPr>
          <w:rFonts w:hint="eastAsia" w:ascii="仿宋" w:hAnsi="仿宋" w:eastAsia="仿宋" w:cs="仿宋"/>
          <w:b w:val="0"/>
          <w:bCs w:val="0"/>
          <w:color w:val="auto"/>
          <w:sz w:val="24"/>
          <w:szCs w:val="24"/>
          <w:lang w:val="en-US" w:eastAsia="zh-CN"/>
        </w:rPr>
        <w:t xml:space="preserve">2026年6月    </w:t>
      </w:r>
    </w:p>
    <w:sectPr>
      <w:footerReference r:id="rId3" w:type="default"/>
      <w:pgSz w:w="11906" w:h="16838"/>
      <w:pgMar w:top="1994" w:right="1134" w:bottom="224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标题 CS)">
    <w:altName w:val="宋体"/>
    <w:panose1 w:val="00000000000000000000"/>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E6CA5"/>
    <w:multiLevelType w:val="multilevel"/>
    <w:tmpl w:val="6FDE6CA5"/>
    <w:lvl w:ilvl="0" w:tentative="0">
      <w:start w:val="1"/>
      <w:numFmt w:val="decimal"/>
      <w:pStyle w:val="3"/>
      <w:lvlText w:val="%1."/>
      <w:lvlJc w:val="left"/>
      <w:pPr>
        <w:ind w:left="454" w:hanging="454"/>
      </w:pPr>
      <w:rPr>
        <w:rFonts w:hint="eastAsia"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4"/>
      <w:lvlText w:val="%1.%2"/>
      <w:lvlJc w:val="left"/>
      <w:pPr>
        <w:ind w:left="680" w:hanging="680"/>
      </w:pPr>
      <w:rPr>
        <w:rFonts w:hint="default" w:ascii="Times New Roman" w:hAnsi="Times New Roman" w:cs="Times New Roman"/>
      </w:rPr>
    </w:lvl>
    <w:lvl w:ilvl="2" w:tentative="0">
      <w:start w:val="1"/>
      <w:numFmt w:val="decimal"/>
      <w:pStyle w:val="5"/>
      <w:lvlText w:val="%1.%2.%3"/>
      <w:lvlJc w:val="left"/>
      <w:pPr>
        <w:ind w:left="851" w:hanging="851"/>
      </w:pPr>
      <w:rPr>
        <w:rFonts w:hint="eastAsia"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lvlText w:val="%1.%2.%3.%4"/>
      <w:lvlJc w:val="left"/>
      <w:pPr>
        <w:ind w:left="1021" w:hanging="1021"/>
      </w:pPr>
      <w:rPr>
        <w:rFonts w:hint="eastAsia"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lvlText w:val="%1.%2.%3.%4.%5"/>
      <w:lvlJc w:val="left"/>
      <w:pPr>
        <w:ind w:left="1134" w:hanging="1134"/>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wNjBmNjRkYzAwMDliZjEzZTg1YTU0ZDY3YjdjZjUifQ=="/>
  </w:docVars>
  <w:rsids>
    <w:rsidRoot w:val="7EF70183"/>
    <w:rsid w:val="0169294A"/>
    <w:rsid w:val="0A1E3399"/>
    <w:rsid w:val="0DC0203B"/>
    <w:rsid w:val="101A1860"/>
    <w:rsid w:val="187F1141"/>
    <w:rsid w:val="1C8F1174"/>
    <w:rsid w:val="27816A55"/>
    <w:rsid w:val="2D2B513D"/>
    <w:rsid w:val="2F7D16E7"/>
    <w:rsid w:val="2FC94918"/>
    <w:rsid w:val="30580EDD"/>
    <w:rsid w:val="35F7431A"/>
    <w:rsid w:val="39577BC0"/>
    <w:rsid w:val="47587C86"/>
    <w:rsid w:val="4D0D6DDB"/>
    <w:rsid w:val="54260A7D"/>
    <w:rsid w:val="545267B4"/>
    <w:rsid w:val="54AD4AAF"/>
    <w:rsid w:val="57ED55AB"/>
    <w:rsid w:val="58342668"/>
    <w:rsid w:val="584913B5"/>
    <w:rsid w:val="5B9C2AA3"/>
    <w:rsid w:val="5EED5295"/>
    <w:rsid w:val="60DC4B85"/>
    <w:rsid w:val="634F02C3"/>
    <w:rsid w:val="672248E1"/>
    <w:rsid w:val="6A3A7135"/>
    <w:rsid w:val="6B4704F4"/>
    <w:rsid w:val="6D6C0B61"/>
    <w:rsid w:val="71A73EE3"/>
    <w:rsid w:val="74850714"/>
    <w:rsid w:val="753E58F1"/>
    <w:rsid w:val="7B661BA9"/>
    <w:rsid w:val="7EF70183"/>
    <w:rsid w:val="7F820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pageBreakBefore/>
      <w:widowControl/>
      <w:numPr>
        <w:ilvl w:val="0"/>
        <w:numId w:val="1"/>
      </w:numPr>
      <w:spacing w:before="100" w:beforeLines="100" w:after="100" w:afterLines="100"/>
      <w:jc w:val="left"/>
      <w:outlineLvl w:val="0"/>
    </w:pPr>
    <w:rPr>
      <w:rFonts w:eastAsia="黑体" w:cs="宋体"/>
      <w:bCs/>
      <w:kern w:val="44"/>
      <w:sz w:val="44"/>
      <w:szCs w:val="44"/>
    </w:rPr>
  </w:style>
  <w:style w:type="paragraph" w:styleId="4">
    <w:name w:val="heading 2"/>
    <w:basedOn w:val="1"/>
    <w:next w:val="1"/>
    <w:qFormat/>
    <w:uiPriority w:val="0"/>
    <w:pPr>
      <w:keepNext/>
      <w:keepLines/>
      <w:widowControl/>
      <w:numPr>
        <w:ilvl w:val="1"/>
        <w:numId w:val="1"/>
      </w:numPr>
      <w:tabs>
        <w:tab w:val="left" w:pos="630"/>
      </w:tabs>
      <w:spacing w:before="50" w:beforeLines="50" w:after="50" w:afterLines="50"/>
      <w:jc w:val="left"/>
      <w:outlineLvl w:val="1"/>
    </w:pPr>
    <w:rPr>
      <w:rFonts w:eastAsia="黑体" w:cs="Times New Roman (标题 CS)"/>
      <w:bCs/>
      <w:kern w:val="0"/>
      <w:sz w:val="32"/>
      <w:szCs w:val="32"/>
    </w:rPr>
  </w:style>
  <w:style w:type="paragraph" w:styleId="5">
    <w:name w:val="heading 3"/>
    <w:basedOn w:val="1"/>
    <w:next w:val="1"/>
    <w:qFormat/>
    <w:uiPriority w:val="0"/>
    <w:pPr>
      <w:keepNext/>
      <w:keepLines/>
      <w:widowControl/>
      <w:numPr>
        <w:ilvl w:val="2"/>
        <w:numId w:val="1"/>
      </w:numPr>
      <w:spacing w:before="50" w:beforeLines="50" w:after="50" w:afterLines="50"/>
      <w:ind w:left="850" w:hanging="850"/>
      <w:jc w:val="left"/>
      <w:outlineLvl w:val="2"/>
    </w:pPr>
    <w:rPr>
      <w:rFonts w:eastAsia="黑体" w:cs="宋体"/>
      <w:bCs/>
      <w:kern w:val="0"/>
      <w:sz w:val="30"/>
      <w:szCs w:val="32"/>
    </w:rPr>
  </w:style>
  <w:style w:type="character" w:default="1" w:styleId="11">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unhideWhenUsed/>
    <w:qFormat/>
    <w:uiPriority w:val="39"/>
    <w:pPr>
      <w:widowControl/>
      <w:ind w:left="420" w:leftChars="200"/>
      <w:jc w:val="left"/>
    </w:pPr>
    <w:rPr>
      <w:rFonts w:ascii="宋体" w:hAnsi="宋体" w:cs="宋体"/>
      <w:kern w:val="0"/>
      <w:szCs w:val="24"/>
    </w:rPr>
  </w:style>
  <w:style w:type="paragraph" w:styleId="6">
    <w:name w:val="caption"/>
    <w:basedOn w:val="1"/>
    <w:next w:val="1"/>
    <w:unhideWhenUsed/>
    <w:qFormat/>
    <w:uiPriority w:val="35"/>
    <w:pPr>
      <w:keepNext/>
      <w:keepLines/>
      <w:spacing w:after="50" w:afterLines="50"/>
      <w:jc w:val="center"/>
    </w:pPr>
    <w:rPr>
      <w:sz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正文段落"/>
    <w:basedOn w:val="1"/>
    <w:qFormat/>
    <w:uiPriority w:val="0"/>
    <w:pPr>
      <w:widowControl/>
      <w:spacing w:line="240" w:lineRule="auto"/>
      <w:ind w:firstLine="480" w:firstLineChars="200"/>
      <w:jc w:val="left"/>
    </w:pPr>
    <w:rPr>
      <w:rFonts w:cs="宋体"/>
      <w:kern w:val="0"/>
      <w:szCs w:val="24"/>
    </w:rPr>
  </w:style>
  <w:style w:type="paragraph" w:customStyle="1" w:styleId="13">
    <w:name w:val="表格首行"/>
    <w:basedOn w:val="14"/>
    <w:next w:val="1"/>
    <w:qFormat/>
    <w:uiPriority w:val="0"/>
    <w:pPr>
      <w:jc w:val="center"/>
    </w:pPr>
    <w:rPr>
      <w:b/>
    </w:rPr>
  </w:style>
  <w:style w:type="paragraph" w:customStyle="1" w:styleId="14">
    <w:name w:val="表格正文"/>
    <w:basedOn w:val="1"/>
    <w:qFormat/>
    <w:uiPriority w:val="0"/>
    <w:pPr>
      <w:spacing w:line="240" w:lineRule="auto"/>
      <w:jc w:val="left"/>
    </w:pPr>
    <w:rPr>
      <w:sz w:val="21"/>
    </w:rPr>
  </w:style>
  <w:style w:type="paragraph" w:customStyle="1" w:styleId="15">
    <w:name w:val="正文强调"/>
    <w:basedOn w:val="1"/>
    <w:next w:val="12"/>
    <w:qFormat/>
    <w:uiPriority w:val="0"/>
    <w:pPr>
      <w:widowControl/>
      <w:spacing w:line="240" w:lineRule="auto"/>
      <w:ind w:left="420" w:leftChars="200"/>
      <w:jc w:val="left"/>
    </w:pPr>
    <w:rPr>
      <w:rFonts w:cs="宋体"/>
      <w:b/>
      <w:kern w:val="0"/>
      <w:sz w:val="28"/>
      <w:szCs w:val="24"/>
    </w:rPr>
  </w:style>
  <w:style w:type="table" w:customStyle="1" w:styleId="16">
    <w:name w:val="Remarks Table"/>
    <w:basedOn w:val="10"/>
    <w:qFormat/>
    <w:uiPriority w:val="0"/>
    <w:pPr>
      <w:widowControl w:val="0"/>
      <w:adjustRightInd w:val="0"/>
      <w:snapToGrid w:val="0"/>
    </w:pPr>
    <w:rPr>
      <w:rFonts w:cs="Arial"/>
      <w:sz w:val="21"/>
      <w:szCs w:val="21"/>
    </w:rPr>
    <w:tblPr>
      <w:tblLayout w:type="fixed"/>
    </w:tblPr>
    <w:trPr>
      <w:cantSplit/>
    </w:t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2477</Words>
  <Characters>2712</Characters>
  <Lines>0</Lines>
  <Paragraphs>0</Paragraphs>
  <TotalTime>9</TotalTime>
  <ScaleCrop>false</ScaleCrop>
  <LinksUpToDate>false</LinksUpToDate>
  <CharactersWithSpaces>2722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2020-12-26T02:38:00Z</dcterms:created>
  <dc:creator>Administrator</dc:creator>
  <cp:lastModifiedBy>张扬腾</cp:lastModifiedBy>
  <cp:lastPrinted>2023-02-22T07:34:00Z</cp:lastPrinted>
  <dcterms:modified xsi:type="dcterms:W3CDTF">2026-06-10T09:40:10Z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077E9AC69C544D0789A8748496D2EF07</vt:lpwstr>
  </property>
</Properties>
</file>